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5ED" w:rsidRDefault="006025ED" w:rsidP="006025ED">
      <w:pPr>
        <w:jc w:val="cente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36"/>
          <w:szCs w:val="36"/>
        </w:rPr>
        <w:t>Sovereignty and the Indian Mascot</w:t>
      </w:r>
    </w:p>
    <w:p w:rsidR="006025ED" w:rsidRDefault="006025ED" w:rsidP="006025ED">
      <w:pPr>
        <w:jc w:val="center"/>
        <w:rPr>
          <w:sz w:val="24"/>
          <w:szCs w:val="24"/>
        </w:rPr>
      </w:pPr>
    </w:p>
    <w:p w:rsidR="006025ED" w:rsidRDefault="006025ED" w:rsidP="006025ED">
      <w:pPr>
        <w:jc w:val="center"/>
        <w:rPr>
          <w:sz w:val="24"/>
          <w:szCs w:val="24"/>
        </w:rPr>
      </w:pPr>
      <w:r>
        <w:rPr>
          <w:sz w:val="24"/>
          <w:szCs w:val="24"/>
        </w:rPr>
        <w:t>Lawrence R. Baca</w:t>
      </w:r>
    </w:p>
    <w:p w:rsidR="006025ED" w:rsidRDefault="006025ED" w:rsidP="006025ED">
      <w:pPr>
        <w:jc w:val="center"/>
        <w:rPr>
          <w:sz w:val="24"/>
          <w:szCs w:val="24"/>
        </w:rPr>
      </w:pPr>
      <w:r>
        <w:rPr>
          <w:sz w:val="24"/>
          <w:szCs w:val="24"/>
        </w:rPr>
        <w:t>Retired</w:t>
      </w:r>
    </w:p>
    <w:p w:rsidR="006025ED" w:rsidRDefault="006025ED" w:rsidP="006025ED">
      <w:pPr>
        <w:jc w:val="center"/>
        <w:rPr>
          <w:sz w:val="24"/>
          <w:szCs w:val="24"/>
        </w:rPr>
      </w:pPr>
      <w:r>
        <w:rPr>
          <w:sz w:val="24"/>
          <w:szCs w:val="24"/>
        </w:rPr>
        <w:t>Formerly Senior Trial Attorney (1976 - 2008)</w:t>
      </w:r>
    </w:p>
    <w:p w:rsidR="006025ED" w:rsidRDefault="006025ED" w:rsidP="006025ED">
      <w:pPr>
        <w:jc w:val="center"/>
        <w:rPr>
          <w:sz w:val="24"/>
          <w:szCs w:val="24"/>
        </w:rPr>
      </w:pPr>
      <w:r>
        <w:rPr>
          <w:sz w:val="24"/>
          <w:szCs w:val="24"/>
        </w:rPr>
        <w:t>Civil Rights Division, United States Department of Justice</w:t>
      </w:r>
    </w:p>
    <w:p w:rsidR="006025ED" w:rsidRDefault="006025ED" w:rsidP="006025ED">
      <w:pPr>
        <w:jc w:val="center"/>
        <w:rPr>
          <w:sz w:val="24"/>
          <w:szCs w:val="24"/>
        </w:rPr>
      </w:pPr>
      <w:proofErr w:type="gramStart"/>
      <w:r>
        <w:rPr>
          <w:sz w:val="24"/>
          <w:szCs w:val="24"/>
        </w:rPr>
        <w:t>and</w:t>
      </w:r>
      <w:proofErr w:type="gramEnd"/>
    </w:p>
    <w:p w:rsidR="006025ED" w:rsidRDefault="006025ED" w:rsidP="006025ED">
      <w:pPr>
        <w:jc w:val="center"/>
        <w:rPr>
          <w:sz w:val="24"/>
          <w:szCs w:val="24"/>
        </w:rPr>
      </w:pPr>
      <w:r>
        <w:rPr>
          <w:sz w:val="24"/>
          <w:szCs w:val="24"/>
        </w:rPr>
        <w:t>Deputy Director, Office of Tribal Justice (2004-2008)</w:t>
      </w:r>
    </w:p>
    <w:p w:rsidR="006025ED" w:rsidRDefault="006025ED" w:rsidP="006025ED">
      <w:pPr>
        <w:rPr>
          <w:sz w:val="24"/>
          <w:szCs w:val="24"/>
        </w:rPr>
      </w:pPr>
    </w:p>
    <w:p w:rsidR="006025ED" w:rsidRDefault="006025ED" w:rsidP="006025ED">
      <w:pPr>
        <w:ind w:left="360" w:right="360"/>
        <w:jc w:val="both"/>
        <w:rPr>
          <w:sz w:val="36"/>
          <w:szCs w:val="36"/>
        </w:rPr>
      </w:pPr>
      <w:r>
        <w:rPr>
          <w:b/>
          <w:bCs/>
          <w:i/>
          <w:iCs/>
          <w:sz w:val="26"/>
          <w:szCs w:val="26"/>
        </w:rPr>
        <w:t>It is a pity that so many Americans today think of the Indian as a romantic or comic figure in American History without contemporary significance.  In fact, the Indian plays much the same role in our American society that the Jews played in Germany.  Like the miner’s canary, the Indian marks the shifts from fresh air to poison gas in our political atmosphere; and our treatment of Indians, even more than our treatment of other minorities, reflects the rise and fall in our democratic faith.</w:t>
      </w:r>
    </w:p>
    <w:p w:rsidR="006025ED" w:rsidRDefault="006025ED" w:rsidP="006025ED">
      <w:pPr>
        <w:ind w:left="360" w:right="360"/>
        <w:jc w:val="both"/>
        <w:rPr>
          <w:sz w:val="36"/>
          <w:szCs w:val="36"/>
        </w:rPr>
      </w:pPr>
    </w:p>
    <w:p w:rsidR="006025ED" w:rsidRDefault="006025ED" w:rsidP="006025ED">
      <w:pPr>
        <w:ind w:left="1080" w:right="720"/>
        <w:jc w:val="both"/>
        <w:rPr>
          <w:sz w:val="24"/>
          <w:szCs w:val="24"/>
        </w:rPr>
      </w:pPr>
      <w:r w:rsidRPr="006025ED">
        <w:rPr>
          <w:sz w:val="24"/>
          <w:szCs w:val="24"/>
        </w:rPr>
        <w:t>Felix S. Cohen</w:t>
      </w:r>
    </w:p>
    <w:p w:rsidR="006025ED" w:rsidRDefault="006025ED" w:rsidP="006025ED">
      <w:pPr>
        <w:ind w:left="1080" w:right="720"/>
        <w:jc w:val="both"/>
        <w:rPr>
          <w:sz w:val="24"/>
          <w:szCs w:val="24"/>
        </w:rPr>
      </w:pPr>
      <w:r w:rsidRPr="006025ED">
        <w:rPr>
          <w:sz w:val="24"/>
          <w:szCs w:val="24"/>
        </w:rPr>
        <w:t xml:space="preserve">The Erosion of Indian Rights, 1950-1953: A Case Study in Bureaucracy, </w:t>
      </w:r>
    </w:p>
    <w:p w:rsidR="006025ED" w:rsidRPr="006025ED" w:rsidRDefault="006025ED" w:rsidP="006025ED">
      <w:pPr>
        <w:ind w:left="1080" w:right="720"/>
        <w:jc w:val="both"/>
        <w:rPr>
          <w:sz w:val="24"/>
          <w:szCs w:val="24"/>
        </w:rPr>
      </w:pPr>
      <w:r w:rsidRPr="006025ED">
        <w:rPr>
          <w:sz w:val="24"/>
          <w:szCs w:val="24"/>
        </w:rPr>
        <w:t>The Yale Law Journal, Vol. 62:348.</w:t>
      </w:r>
    </w:p>
    <w:p w:rsidR="006025ED" w:rsidRDefault="006025ED" w:rsidP="006025ED">
      <w:pPr>
        <w:ind w:left="360" w:hanging="360"/>
        <w:rPr>
          <w:sz w:val="26"/>
          <w:szCs w:val="26"/>
        </w:rPr>
      </w:pPr>
      <w:r>
        <w:rPr>
          <w:sz w:val="26"/>
          <w:szCs w:val="26"/>
        </w:rPr>
        <w:t xml:space="preserve">I.  </w:t>
      </w:r>
      <w:r>
        <w:rPr>
          <w:sz w:val="26"/>
          <w:szCs w:val="26"/>
        </w:rPr>
        <w:tab/>
        <w:t>The NCAA Allows and Forbids and Allows Native American Mascots</w:t>
      </w:r>
    </w:p>
    <w:p w:rsidR="006025ED" w:rsidRDefault="006025ED" w:rsidP="006025ED">
      <w:pPr>
        <w:rPr>
          <w:sz w:val="26"/>
          <w:szCs w:val="26"/>
        </w:rPr>
      </w:pPr>
    </w:p>
    <w:p w:rsidR="006025ED" w:rsidRDefault="006025ED" w:rsidP="006025ED">
      <w:pPr>
        <w:ind w:left="360"/>
        <w:rPr>
          <w:sz w:val="26"/>
          <w:szCs w:val="26"/>
        </w:rPr>
      </w:pPr>
      <w:r>
        <w:rPr>
          <w:sz w:val="26"/>
          <w:szCs w:val="26"/>
        </w:rPr>
        <w:t>There is the season and then there are the playoffs and never the twain shall meet.</w:t>
      </w:r>
    </w:p>
    <w:p w:rsidR="006025ED" w:rsidRDefault="006025ED" w:rsidP="006025ED">
      <w:pPr>
        <w:rPr>
          <w:sz w:val="26"/>
          <w:szCs w:val="26"/>
        </w:rPr>
      </w:pPr>
      <w:r>
        <w:rPr>
          <w:sz w:val="26"/>
          <w:szCs w:val="26"/>
        </w:rPr>
        <w:tab/>
      </w:r>
      <w:proofErr w:type="gramStart"/>
      <w:r>
        <w:rPr>
          <w:sz w:val="26"/>
          <w:szCs w:val="26"/>
        </w:rPr>
        <w:t>Tribal permission as exercise of tribal sovereignty.</w:t>
      </w:r>
      <w:proofErr w:type="gramEnd"/>
    </w:p>
    <w:p w:rsidR="006025ED" w:rsidRDefault="00EA042C" w:rsidP="006025ED">
      <w:pPr>
        <w:rPr>
          <w:sz w:val="26"/>
          <w:szCs w:val="26"/>
        </w:rPr>
      </w:pPr>
      <w:r>
        <w:rPr>
          <w:sz w:val="26"/>
          <w:szCs w:val="26"/>
        </w:rPr>
        <w:tab/>
      </w:r>
      <w:r w:rsidR="006025ED">
        <w:rPr>
          <w:sz w:val="26"/>
          <w:szCs w:val="26"/>
        </w:rPr>
        <w:t>What tribe controls the grant of permission?</w:t>
      </w:r>
    </w:p>
    <w:p w:rsidR="006025ED" w:rsidRDefault="00EA042C" w:rsidP="006025ED">
      <w:pPr>
        <w:rPr>
          <w:sz w:val="26"/>
          <w:szCs w:val="26"/>
        </w:rPr>
      </w:pPr>
      <w:r>
        <w:rPr>
          <w:sz w:val="26"/>
          <w:szCs w:val="26"/>
        </w:rPr>
        <w:tab/>
      </w:r>
      <w:proofErr w:type="gramStart"/>
      <w:r w:rsidR="006025ED">
        <w:rPr>
          <w:sz w:val="26"/>
          <w:szCs w:val="26"/>
        </w:rPr>
        <w:t>Florida Seminoles v. Oklahoma Seminoles.</w:t>
      </w:r>
      <w:proofErr w:type="gramEnd"/>
    </w:p>
    <w:p w:rsidR="006025ED" w:rsidRDefault="006025ED" w:rsidP="006025ED">
      <w:pPr>
        <w:rPr>
          <w:sz w:val="26"/>
          <w:szCs w:val="26"/>
        </w:rPr>
      </w:pPr>
      <w:r>
        <w:rPr>
          <w:sz w:val="26"/>
          <w:szCs w:val="26"/>
        </w:rPr>
        <w:tab/>
      </w:r>
      <w:r>
        <w:rPr>
          <w:sz w:val="26"/>
          <w:szCs w:val="26"/>
        </w:rPr>
        <w:tab/>
      </w:r>
    </w:p>
    <w:p w:rsidR="006025ED" w:rsidRDefault="00EA042C" w:rsidP="006025ED">
      <w:pPr>
        <w:rPr>
          <w:sz w:val="26"/>
          <w:szCs w:val="26"/>
        </w:rPr>
      </w:pPr>
      <w:r>
        <w:rPr>
          <w:sz w:val="26"/>
          <w:szCs w:val="26"/>
        </w:rPr>
        <w:tab/>
      </w:r>
      <w:r w:rsidR="006025ED">
        <w:rPr>
          <w:sz w:val="26"/>
          <w:szCs w:val="26"/>
        </w:rPr>
        <w:t>Which of the tribes can veto that permission?</w:t>
      </w:r>
    </w:p>
    <w:p w:rsidR="006025ED" w:rsidRDefault="00EA042C" w:rsidP="006025ED">
      <w:pPr>
        <w:rPr>
          <w:sz w:val="26"/>
          <w:szCs w:val="26"/>
        </w:rPr>
      </w:pPr>
      <w:r>
        <w:rPr>
          <w:sz w:val="26"/>
          <w:szCs w:val="26"/>
        </w:rPr>
        <w:tab/>
      </w:r>
      <w:r w:rsidR="006025ED">
        <w:rPr>
          <w:sz w:val="26"/>
          <w:szCs w:val="26"/>
        </w:rPr>
        <w:t>Who are “The Fighting Sioux?”</w:t>
      </w:r>
    </w:p>
    <w:p w:rsidR="006025ED" w:rsidRDefault="006025ED" w:rsidP="006025ED">
      <w:pPr>
        <w:rPr>
          <w:sz w:val="26"/>
          <w:szCs w:val="26"/>
        </w:rPr>
      </w:pPr>
    </w:p>
    <w:p w:rsidR="006025ED" w:rsidRDefault="00EA042C" w:rsidP="006025ED">
      <w:pPr>
        <w:tabs>
          <w:tab w:val="left" w:pos="720"/>
          <w:tab w:val="left" w:pos="1440"/>
          <w:tab w:val="left" w:pos="2160"/>
          <w:tab w:val="left" w:pos="2880"/>
          <w:tab w:val="left" w:pos="3600"/>
          <w:tab w:val="left" w:pos="4320"/>
          <w:tab w:val="left" w:pos="5040"/>
          <w:tab w:val="left" w:pos="5760"/>
        </w:tabs>
        <w:ind w:left="6120" w:hanging="6120"/>
        <w:rPr>
          <w:sz w:val="26"/>
          <w:szCs w:val="26"/>
        </w:rPr>
      </w:pPr>
      <w:r>
        <w:rPr>
          <w:sz w:val="26"/>
          <w:szCs w:val="26"/>
        </w:rPr>
        <w:tab/>
      </w:r>
      <w:r w:rsidR="006025ED">
        <w:rPr>
          <w:sz w:val="26"/>
          <w:szCs w:val="26"/>
        </w:rPr>
        <w:t>Does namesake tribe have a meaning?</w:t>
      </w:r>
      <w:r w:rsidR="006025ED">
        <w:rPr>
          <w:sz w:val="26"/>
          <w:szCs w:val="26"/>
        </w:rPr>
        <w:tab/>
      </w:r>
      <w:r w:rsidR="006025ED">
        <w:rPr>
          <w:sz w:val="26"/>
          <w:szCs w:val="26"/>
        </w:rPr>
        <w:tab/>
      </w:r>
    </w:p>
    <w:p w:rsidR="006025ED" w:rsidRDefault="006025ED" w:rsidP="006025ED">
      <w:pPr>
        <w:ind w:left="1080"/>
        <w:rPr>
          <w:sz w:val="26"/>
          <w:szCs w:val="26"/>
        </w:rPr>
      </w:pPr>
      <w:r>
        <w:rPr>
          <w:sz w:val="26"/>
          <w:szCs w:val="26"/>
        </w:rPr>
        <w:t xml:space="preserve">Stanford Indians - which of California’s 125 </w:t>
      </w:r>
      <w:proofErr w:type="gramStart"/>
      <w:r>
        <w:rPr>
          <w:sz w:val="26"/>
          <w:szCs w:val="26"/>
        </w:rPr>
        <w:t>Federally</w:t>
      </w:r>
      <w:proofErr w:type="gramEnd"/>
      <w:r>
        <w:rPr>
          <w:sz w:val="26"/>
          <w:szCs w:val="26"/>
        </w:rPr>
        <w:t xml:space="preserve"> recognized tribes could have granted permission?</w:t>
      </w:r>
    </w:p>
    <w:p w:rsidR="006025ED" w:rsidRDefault="006025ED" w:rsidP="006025ED">
      <w:pPr>
        <w:rPr>
          <w:sz w:val="26"/>
          <w:szCs w:val="26"/>
        </w:rPr>
      </w:pPr>
    </w:p>
    <w:p w:rsidR="006025ED" w:rsidRDefault="006025ED" w:rsidP="006025ED">
      <w:pPr>
        <w:rPr>
          <w:sz w:val="26"/>
          <w:szCs w:val="26"/>
        </w:rPr>
      </w:pPr>
    </w:p>
    <w:p w:rsidR="006025ED" w:rsidRDefault="006025ED" w:rsidP="006025ED">
      <w:pPr>
        <w:rPr>
          <w:sz w:val="26"/>
          <w:szCs w:val="26"/>
        </w:rPr>
      </w:pPr>
      <w:r>
        <w:rPr>
          <w:sz w:val="26"/>
          <w:szCs w:val="26"/>
        </w:rPr>
        <w:tab/>
      </w:r>
      <w:r>
        <w:rPr>
          <w:sz w:val="26"/>
          <w:szCs w:val="26"/>
          <w:u w:val="single"/>
        </w:rPr>
        <w:t>Suggested Readings:</w:t>
      </w:r>
    </w:p>
    <w:p w:rsidR="006025ED" w:rsidRDefault="006025ED" w:rsidP="006025ED">
      <w:pPr>
        <w:rPr>
          <w:sz w:val="26"/>
          <w:szCs w:val="26"/>
        </w:rPr>
      </w:pPr>
      <w:r>
        <w:rPr>
          <w:sz w:val="26"/>
          <w:szCs w:val="26"/>
        </w:rPr>
        <w:tab/>
        <w:t>NCAA News Release and List of Schools</w:t>
      </w:r>
    </w:p>
    <w:p w:rsidR="006025ED" w:rsidRDefault="006025ED" w:rsidP="006025ED">
      <w:pPr>
        <w:rPr>
          <w:sz w:val="26"/>
          <w:szCs w:val="26"/>
        </w:rPr>
      </w:pPr>
      <w:r>
        <w:rPr>
          <w:sz w:val="26"/>
          <w:szCs w:val="26"/>
        </w:rPr>
        <w:tab/>
        <w:t>NCAA Policy Text and Appeals Process</w:t>
      </w:r>
    </w:p>
    <w:p w:rsidR="006025ED" w:rsidRDefault="006025ED" w:rsidP="006025ED">
      <w:pPr>
        <w:rPr>
          <w:sz w:val="26"/>
          <w:szCs w:val="26"/>
        </w:rPr>
      </w:pPr>
      <w:r>
        <w:rPr>
          <w:sz w:val="26"/>
          <w:szCs w:val="26"/>
        </w:rPr>
        <w:tab/>
        <w:t>NCAA Self Evaluation</w:t>
      </w:r>
    </w:p>
    <w:p w:rsidR="006025ED" w:rsidRDefault="006025ED" w:rsidP="006025ED">
      <w:pPr>
        <w:rPr>
          <w:sz w:val="26"/>
          <w:szCs w:val="26"/>
        </w:rPr>
      </w:pPr>
      <w:r>
        <w:rPr>
          <w:sz w:val="26"/>
          <w:szCs w:val="26"/>
        </w:rPr>
        <w:tab/>
        <w:t>Self Evaluation of the University of Illinois</w:t>
      </w:r>
    </w:p>
    <w:p w:rsidR="006025ED" w:rsidRDefault="006025ED" w:rsidP="006025ED">
      <w:pPr>
        <w:rPr>
          <w:sz w:val="26"/>
          <w:szCs w:val="26"/>
        </w:rPr>
      </w:pPr>
    </w:p>
    <w:p w:rsidR="006025ED" w:rsidRDefault="006025ED" w:rsidP="006025ED">
      <w:pPr>
        <w:rPr>
          <w:sz w:val="26"/>
          <w:szCs w:val="26"/>
        </w:rPr>
      </w:pPr>
    </w:p>
    <w:p w:rsidR="006025ED" w:rsidRDefault="006025ED" w:rsidP="006025ED">
      <w:pPr>
        <w:rPr>
          <w:sz w:val="26"/>
          <w:szCs w:val="26"/>
        </w:rPr>
      </w:pPr>
    </w:p>
    <w:p w:rsidR="006025ED" w:rsidRDefault="006025ED" w:rsidP="006025ED">
      <w:pPr>
        <w:rPr>
          <w:sz w:val="26"/>
          <w:szCs w:val="26"/>
        </w:rPr>
      </w:pPr>
    </w:p>
    <w:p w:rsidR="006025ED" w:rsidRDefault="006025ED" w:rsidP="006025ED">
      <w:pPr>
        <w:ind w:left="360" w:hanging="360"/>
        <w:rPr>
          <w:sz w:val="26"/>
          <w:szCs w:val="26"/>
        </w:rPr>
      </w:pPr>
      <w:r>
        <w:rPr>
          <w:sz w:val="26"/>
          <w:szCs w:val="26"/>
        </w:rPr>
        <w:t>II.</w:t>
      </w:r>
      <w:r>
        <w:rPr>
          <w:sz w:val="26"/>
          <w:szCs w:val="26"/>
        </w:rPr>
        <w:tab/>
        <w:t xml:space="preserve">The U.S. DOE Office for Civil Rights Forbids </w:t>
      </w:r>
      <w:proofErr w:type="gramStart"/>
      <w:r>
        <w:rPr>
          <w:sz w:val="26"/>
          <w:szCs w:val="26"/>
        </w:rPr>
        <w:t>A</w:t>
      </w:r>
      <w:proofErr w:type="gramEnd"/>
      <w:r>
        <w:rPr>
          <w:sz w:val="26"/>
          <w:szCs w:val="26"/>
        </w:rPr>
        <w:t xml:space="preserve"> Racially Hostile Environment</w:t>
      </w:r>
    </w:p>
    <w:p w:rsidR="006025ED" w:rsidRDefault="006025ED" w:rsidP="006025ED">
      <w:pPr>
        <w:rPr>
          <w:sz w:val="26"/>
          <w:szCs w:val="26"/>
        </w:rPr>
      </w:pPr>
    </w:p>
    <w:p w:rsidR="006025ED" w:rsidRDefault="006025ED" w:rsidP="006025ED">
      <w:pPr>
        <w:rPr>
          <w:sz w:val="26"/>
          <w:szCs w:val="26"/>
        </w:rPr>
      </w:pPr>
      <w:r>
        <w:rPr>
          <w:sz w:val="26"/>
          <w:szCs w:val="26"/>
        </w:rPr>
        <w:tab/>
        <w:t>The school can’t do it.</w:t>
      </w:r>
    </w:p>
    <w:p w:rsidR="006025ED" w:rsidRDefault="006025ED" w:rsidP="006025ED">
      <w:pPr>
        <w:rPr>
          <w:sz w:val="26"/>
          <w:szCs w:val="26"/>
        </w:rPr>
      </w:pPr>
      <w:r>
        <w:rPr>
          <w:sz w:val="26"/>
          <w:szCs w:val="26"/>
        </w:rPr>
        <w:tab/>
        <w:t>The school can’t allow it.</w:t>
      </w:r>
    </w:p>
    <w:p w:rsidR="006025ED" w:rsidRDefault="006025ED" w:rsidP="006025ED">
      <w:pPr>
        <w:rPr>
          <w:sz w:val="26"/>
          <w:szCs w:val="26"/>
        </w:rPr>
      </w:pPr>
      <w:r>
        <w:rPr>
          <w:sz w:val="26"/>
          <w:szCs w:val="26"/>
        </w:rPr>
        <w:tab/>
        <w:t>The school must act to prevent or curtail it.</w:t>
      </w:r>
    </w:p>
    <w:p w:rsidR="006025ED" w:rsidRDefault="006025ED" w:rsidP="006025ED">
      <w:pPr>
        <w:rPr>
          <w:sz w:val="26"/>
          <w:szCs w:val="26"/>
        </w:rPr>
      </w:pPr>
    </w:p>
    <w:p w:rsidR="006025ED" w:rsidRDefault="006025ED" w:rsidP="006025ED">
      <w:pPr>
        <w:rPr>
          <w:sz w:val="26"/>
          <w:szCs w:val="26"/>
        </w:rPr>
      </w:pPr>
      <w:r>
        <w:rPr>
          <w:sz w:val="26"/>
          <w:szCs w:val="26"/>
        </w:rPr>
        <w:tab/>
      </w:r>
      <w:r>
        <w:rPr>
          <w:sz w:val="26"/>
          <w:szCs w:val="26"/>
          <w:u w:val="single"/>
        </w:rPr>
        <w:t>Suggested Readings:</w:t>
      </w:r>
    </w:p>
    <w:p w:rsidR="006025ED" w:rsidRDefault="006025ED" w:rsidP="006025ED">
      <w:pPr>
        <w:rPr>
          <w:sz w:val="26"/>
          <w:szCs w:val="26"/>
        </w:rPr>
      </w:pPr>
      <w:r>
        <w:rPr>
          <w:sz w:val="26"/>
          <w:szCs w:val="26"/>
        </w:rPr>
        <w:tab/>
        <w:t>OCR Hostile Environment Regulations</w:t>
      </w:r>
    </w:p>
    <w:p w:rsidR="006025ED" w:rsidRDefault="006025ED" w:rsidP="006025ED">
      <w:pPr>
        <w:rPr>
          <w:sz w:val="26"/>
          <w:szCs w:val="26"/>
        </w:rPr>
      </w:pPr>
      <w:r>
        <w:rPr>
          <w:sz w:val="26"/>
          <w:szCs w:val="26"/>
        </w:rPr>
        <w:tab/>
        <w:t>U.S. Commission on Civil Rights Statement</w:t>
      </w:r>
    </w:p>
    <w:p w:rsidR="006025ED" w:rsidRDefault="006025ED" w:rsidP="006025ED">
      <w:pPr>
        <w:rPr>
          <w:sz w:val="26"/>
          <w:szCs w:val="26"/>
        </w:rPr>
      </w:pPr>
      <w:r>
        <w:rPr>
          <w:sz w:val="26"/>
          <w:szCs w:val="26"/>
        </w:rPr>
        <w:tab/>
        <w:t>American Psychiatrists Association Resolution</w:t>
      </w:r>
    </w:p>
    <w:p w:rsidR="006025ED" w:rsidRDefault="006025ED" w:rsidP="006025ED">
      <w:pPr>
        <w:rPr>
          <w:sz w:val="26"/>
          <w:szCs w:val="26"/>
        </w:rPr>
      </w:pPr>
      <w:r>
        <w:rPr>
          <w:sz w:val="26"/>
          <w:szCs w:val="26"/>
        </w:rPr>
        <w:tab/>
      </w:r>
      <w:proofErr w:type="spellStart"/>
      <w:r>
        <w:rPr>
          <w:sz w:val="26"/>
          <w:szCs w:val="26"/>
        </w:rPr>
        <w:t>Trainor</w:t>
      </w:r>
      <w:proofErr w:type="spellEnd"/>
      <w:r>
        <w:rPr>
          <w:sz w:val="26"/>
          <w:szCs w:val="26"/>
        </w:rPr>
        <w:t xml:space="preserve"> Law Review Article</w:t>
      </w:r>
    </w:p>
    <w:p w:rsidR="006025ED" w:rsidRDefault="006025ED" w:rsidP="006025ED">
      <w:pPr>
        <w:rPr>
          <w:sz w:val="26"/>
          <w:szCs w:val="26"/>
        </w:rPr>
      </w:pPr>
    </w:p>
    <w:p w:rsidR="006025ED" w:rsidRDefault="006025ED" w:rsidP="006025ED">
      <w:pPr>
        <w:ind w:left="360" w:hanging="360"/>
        <w:rPr>
          <w:sz w:val="26"/>
          <w:szCs w:val="26"/>
        </w:rPr>
      </w:pPr>
      <w:r>
        <w:rPr>
          <w:sz w:val="26"/>
          <w:szCs w:val="26"/>
        </w:rPr>
        <w:t>III.</w:t>
      </w:r>
      <w:r>
        <w:rPr>
          <w:sz w:val="26"/>
          <w:szCs w:val="26"/>
        </w:rPr>
        <w:tab/>
        <w:t>The rubber meets the road: the DOE Regulations meet the World’s Largest Lawn Jockey</w:t>
      </w:r>
    </w:p>
    <w:p w:rsidR="006025ED" w:rsidRDefault="006025ED" w:rsidP="006025ED">
      <w:pPr>
        <w:rPr>
          <w:sz w:val="26"/>
          <w:szCs w:val="26"/>
        </w:rPr>
      </w:pPr>
    </w:p>
    <w:p w:rsidR="00EA042C" w:rsidRDefault="006025ED" w:rsidP="00EA042C">
      <w:pPr>
        <w:ind w:left="360"/>
        <w:rPr>
          <w:sz w:val="26"/>
          <w:szCs w:val="26"/>
        </w:rPr>
      </w:pPr>
      <w:r>
        <w:rPr>
          <w:sz w:val="26"/>
          <w:szCs w:val="26"/>
        </w:rPr>
        <w:t>DOJ and Buncombe County, North Carolina - The Warriors and Squaws</w:t>
      </w:r>
    </w:p>
    <w:p w:rsidR="006025ED" w:rsidRDefault="006025ED" w:rsidP="00EA042C">
      <w:pPr>
        <w:ind w:left="360"/>
        <w:rPr>
          <w:sz w:val="26"/>
          <w:szCs w:val="26"/>
        </w:rPr>
      </w:pPr>
      <w:r>
        <w:rPr>
          <w:sz w:val="26"/>
          <w:szCs w:val="26"/>
        </w:rPr>
        <w:t>When is religious iconography not religious iconography?</w:t>
      </w:r>
    </w:p>
    <w:p w:rsidR="006025ED" w:rsidRDefault="006025ED" w:rsidP="006025ED">
      <w:pPr>
        <w:ind w:left="360"/>
        <w:rPr>
          <w:sz w:val="26"/>
          <w:szCs w:val="26"/>
        </w:rPr>
      </w:pPr>
      <w:r>
        <w:rPr>
          <w:sz w:val="26"/>
          <w:szCs w:val="26"/>
        </w:rPr>
        <w:t>The face of Christ is always the face of Christ as long as you call it the face of Christ.</w:t>
      </w:r>
    </w:p>
    <w:p w:rsidR="006025ED" w:rsidRDefault="006025ED" w:rsidP="006025ED">
      <w:pPr>
        <w:rPr>
          <w:sz w:val="26"/>
          <w:szCs w:val="26"/>
        </w:rPr>
      </w:pPr>
    </w:p>
    <w:p w:rsidR="006025ED" w:rsidRDefault="006025ED" w:rsidP="006025ED">
      <w:pPr>
        <w:rPr>
          <w:sz w:val="26"/>
          <w:szCs w:val="26"/>
        </w:rPr>
      </w:pPr>
      <w:r>
        <w:rPr>
          <w:sz w:val="26"/>
          <w:szCs w:val="26"/>
        </w:rPr>
        <w:tab/>
      </w:r>
      <w:r>
        <w:rPr>
          <w:sz w:val="26"/>
          <w:szCs w:val="26"/>
          <w:u w:val="single"/>
        </w:rPr>
        <w:t>Suggested Readings:</w:t>
      </w:r>
    </w:p>
    <w:p w:rsidR="006025ED" w:rsidRDefault="006025ED" w:rsidP="006025ED">
      <w:pPr>
        <w:rPr>
          <w:sz w:val="26"/>
          <w:szCs w:val="26"/>
        </w:rPr>
      </w:pPr>
      <w:r>
        <w:rPr>
          <w:sz w:val="26"/>
          <w:szCs w:val="26"/>
        </w:rPr>
        <w:tab/>
      </w:r>
      <w:proofErr w:type="spellStart"/>
      <w:r>
        <w:rPr>
          <w:sz w:val="26"/>
          <w:szCs w:val="26"/>
        </w:rPr>
        <w:t>Washegesic</w:t>
      </w:r>
      <w:proofErr w:type="spellEnd"/>
      <w:r>
        <w:rPr>
          <w:sz w:val="26"/>
          <w:szCs w:val="26"/>
        </w:rPr>
        <w:t xml:space="preserve"> v. Bloomingdale Public Schools</w:t>
      </w:r>
    </w:p>
    <w:p w:rsidR="0010667B" w:rsidRDefault="006025ED" w:rsidP="006025ED">
      <w:r>
        <w:rPr>
          <w:sz w:val="26"/>
          <w:szCs w:val="26"/>
        </w:rPr>
        <w:tab/>
        <w:t>Testimony of Dr. Fiske on “the solo effect”</w:t>
      </w:r>
    </w:p>
    <w:sectPr w:rsidR="0010667B" w:rsidSect="001066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025ED"/>
    <w:rsid w:val="0010667B"/>
    <w:rsid w:val="006025ED"/>
    <w:rsid w:val="008B5ED8"/>
    <w:rsid w:val="00EA04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5ED"/>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347</Words>
  <Characters>1980</Characters>
  <Application>Microsoft Office Word</Application>
  <DocSecurity>0</DocSecurity>
  <Lines>16</Lines>
  <Paragraphs>4</Paragraphs>
  <ScaleCrop>false</ScaleCrop>
  <Company>Hewlett-Packard</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dc:creator>
  <cp:lastModifiedBy>joann</cp:lastModifiedBy>
  <cp:revision>2</cp:revision>
  <dcterms:created xsi:type="dcterms:W3CDTF">2013-02-18T01:07:00Z</dcterms:created>
  <dcterms:modified xsi:type="dcterms:W3CDTF">2013-02-18T01:11:00Z</dcterms:modified>
</cp:coreProperties>
</file>